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caps w:val="0"/>
          <w:color w:val="333333"/>
          <w:spacing w:val="0"/>
          <w:sz w:val="21"/>
          <w:szCs w:val="21"/>
          <w:shd w:val="clear" w:fill="FFFFFF"/>
        </w:rPr>
      </w:pPr>
      <w:r>
        <w:rPr>
          <w:rStyle w:val="7"/>
          <w:rFonts w:hint="eastAsia" w:ascii="宋体" w:hAnsi="宋体" w:eastAsia="宋体" w:cs="宋体"/>
          <w:b/>
          <w:i w:val="0"/>
          <w:caps w:val="0"/>
          <w:color w:val="FF0000"/>
          <w:spacing w:val="0"/>
          <w:sz w:val="21"/>
          <w:szCs w:val="21"/>
        </w:rPr>
        <w:t>FC-2GB防雷元件测试仪</w:t>
      </w:r>
      <w:r>
        <w:rPr>
          <w:rFonts w:hint="eastAsia" w:ascii="宋体" w:hAnsi="宋体" w:eastAsia="宋体" w:cs="宋体"/>
          <w:b w:val="0"/>
          <w:bCs w:val="0"/>
          <w:i w:val="0"/>
          <w:caps w:val="0"/>
          <w:color w:val="333333"/>
          <w:spacing w:val="0"/>
          <w:sz w:val="21"/>
          <w:szCs w:val="21"/>
          <w:shd w:val="clear" w:fill="FFFFFF"/>
        </w:rPr>
        <w:t>产品特点</w:t>
      </w:r>
    </w:p>
    <w:p>
      <w:pPr>
        <w:rPr>
          <w:rFonts w:hint="eastAsia" w:ascii="宋体" w:hAnsi="宋体" w:eastAsia="宋体" w:cs="宋体"/>
          <w:b w:val="0"/>
          <w:bCs w:val="0"/>
          <w:i w:val="0"/>
          <w:caps w:val="0"/>
          <w:color w:val="333333"/>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Style w:val="7"/>
          <w:rFonts w:hint="eastAsia" w:ascii="宋体" w:hAnsi="宋体" w:eastAsia="宋体" w:cs="宋体"/>
          <w:b/>
          <w:i w:val="0"/>
          <w:caps w:val="0"/>
          <w:color w:val="FF0000"/>
          <w:spacing w:val="0"/>
          <w:sz w:val="21"/>
          <w:szCs w:val="21"/>
          <w:bdr w:val="none" w:color="auto" w:sz="0" w:space="0"/>
        </w:rPr>
        <w:t>FC-2GB防雷元件测试仪</w:t>
      </w:r>
      <w:r>
        <w:rPr>
          <w:rFonts w:hint="eastAsia" w:ascii="宋体" w:hAnsi="宋体" w:eastAsia="宋体" w:cs="宋体"/>
          <w:b w:val="0"/>
          <w:i w:val="0"/>
          <w:caps w:val="0"/>
          <w:color w:val="000000"/>
          <w:spacing w:val="0"/>
          <w:sz w:val="21"/>
          <w:szCs w:val="21"/>
          <w:bdr w:val="none" w:color="auto" w:sz="0" w:space="0"/>
        </w:rPr>
        <w:t>适用于氧化锌避雷器(压敏电阻),金属陶瓷二、三电极放电管、真空避管等过压防护元件直流参数的测量。也可作稳压、恒流电源,使用于其它方面。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Style w:val="7"/>
          <w:rFonts w:hint="eastAsia" w:ascii="宋体" w:hAnsi="宋体" w:eastAsia="宋体" w:cs="宋体"/>
          <w:b/>
          <w:i w:val="0"/>
          <w:caps w:val="0"/>
          <w:color w:val="FF0000"/>
          <w:spacing w:val="0"/>
          <w:sz w:val="21"/>
          <w:szCs w:val="21"/>
          <w:bdr w:val="none" w:color="auto" w:sz="0" w:space="0"/>
        </w:rPr>
        <w:t>FC-2GB防雷元件测试仪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Style w:val="7"/>
          <w:rFonts w:hint="eastAsia" w:ascii="宋体" w:hAnsi="宋体" w:eastAsia="宋体" w:cs="宋体"/>
          <w:b/>
          <w:i w:val="0"/>
          <w:caps w:val="0"/>
          <w:color w:val="000000"/>
          <w:spacing w:val="0"/>
          <w:sz w:val="21"/>
          <w:szCs w:val="21"/>
          <w:bdr w:val="none" w:color="auto" w:sz="0" w:space="0"/>
        </w:rPr>
        <w:t>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1. 防雷元件测试仪可测量限压击穿、过压点火类元器件的主要参数。</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2. 可预先设定起始电压，20V～1700V(HTFC-2G型)、0～1999V(HTFC-2GB型)连续可调。</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3. 3 LCD数字显示，准确度高，可靠性好，直观清晰。</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4. 压敏电阻测试时，可自动给出精确的1mA恒定电流和0.75U1mA电压。</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5. 气体放电管测试时，测试电压以100V/S的速率线性上升。</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6. 选择连续测量，可以对批量试品进行不间断测试。</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7. 具有高压短路保护、过流保护、自检等功能。</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8. FC-2G防雷元件测试仪具有固有设置190V～260V判别、报警测试功能。</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9. FC-2GB防雷元件测试仪具有精度、量程更高，测量时可以任意设定量程并在测量过程中对超量程测试发出声响提示，适用于器件分组和检验判别，操作更为简便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Style w:val="7"/>
          <w:rFonts w:hint="eastAsia" w:ascii="宋体" w:hAnsi="宋体" w:eastAsia="宋体" w:cs="宋体"/>
          <w:b/>
          <w:i w:val="0"/>
          <w:caps w:val="0"/>
          <w:color w:val="FF0000"/>
          <w:spacing w:val="0"/>
          <w:sz w:val="21"/>
          <w:szCs w:val="21"/>
          <w:bdr w:val="none" w:color="auto" w:sz="0" w:space="0"/>
        </w:rPr>
        <w:t>FC-2GB防雷元件测试仪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Style w:val="7"/>
          <w:rFonts w:hint="eastAsia" w:ascii="宋体" w:hAnsi="宋体" w:eastAsia="宋体" w:cs="宋体"/>
          <w:b/>
          <w:i w:val="0"/>
          <w:caps w:val="0"/>
          <w:color w:val="000000"/>
          <w:spacing w:val="0"/>
          <w:sz w:val="21"/>
          <w:szCs w:val="21"/>
          <w:bdr w:val="none" w:color="auto" w:sz="0" w:space="0"/>
        </w:rPr>
        <w:t>技术参数:</w:t>
      </w:r>
    </w:p>
    <w:tbl>
      <w:tblPr>
        <w:tblW w:w="7320" w:type="dxa"/>
        <w:tblInd w:w="0" w:type="dxa"/>
        <w:shd w:val="clear"/>
        <w:tblLayout w:type="fixed"/>
        <w:tblCellMar>
          <w:top w:w="0" w:type="dxa"/>
          <w:left w:w="0" w:type="dxa"/>
          <w:bottom w:w="0" w:type="dxa"/>
          <w:right w:w="0" w:type="dxa"/>
        </w:tblCellMar>
      </w:tblPr>
      <w:tblGrid>
        <w:gridCol w:w="1442"/>
        <w:gridCol w:w="888"/>
        <w:gridCol w:w="2328"/>
        <w:gridCol w:w="1663"/>
        <w:gridCol w:w="999"/>
      </w:tblGrid>
      <w:tr>
        <w:tblPrEx>
          <w:shd w:val="clear"/>
          <w:tblLayout w:type="fixed"/>
          <w:tblCellMar>
            <w:top w:w="0" w:type="dxa"/>
            <w:left w:w="0" w:type="dxa"/>
            <w:bottom w:w="0" w:type="dxa"/>
            <w:right w:w="0" w:type="dxa"/>
          </w:tblCellMar>
        </w:tblPrEx>
        <w:trPr>
          <w:trHeight w:val="261" w:hRule="atLeast"/>
        </w:trPr>
        <w:tc>
          <w:tcPr>
            <w:tcW w:w="2330" w:type="dxa"/>
            <w:gridSpan w:val="2"/>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技术指标</w:t>
            </w:r>
          </w:p>
        </w:tc>
        <w:tc>
          <w:tcPr>
            <w:tcW w:w="232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测量范围</w:t>
            </w:r>
          </w:p>
        </w:tc>
        <w:tc>
          <w:tcPr>
            <w:tcW w:w="166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最大误差</w:t>
            </w:r>
          </w:p>
        </w:tc>
        <w:tc>
          <w:tcPr>
            <w:tcW w:w="99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测试条件</w:t>
            </w:r>
          </w:p>
        </w:tc>
      </w:tr>
      <w:tr>
        <w:tblPrEx>
          <w:tblLayout w:type="fixed"/>
          <w:tblCellMar>
            <w:top w:w="0" w:type="dxa"/>
            <w:left w:w="0" w:type="dxa"/>
            <w:bottom w:w="0" w:type="dxa"/>
            <w:right w:w="0" w:type="dxa"/>
          </w:tblCellMar>
        </w:tblPrEx>
        <w:trPr>
          <w:trHeight w:val="261" w:hRule="atLeast"/>
        </w:trPr>
        <w:tc>
          <w:tcPr>
            <w:tcW w:w="1442" w:type="dxa"/>
            <w:vMerge w:val="restart"/>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起始动作</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电压（U 1mA）</w:t>
            </w:r>
          </w:p>
        </w:tc>
        <w:tc>
          <w:tcPr>
            <w:tcW w:w="88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HTFC-2G</w:t>
            </w:r>
          </w:p>
        </w:tc>
        <w:tc>
          <w:tcPr>
            <w:tcW w:w="232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0 ～ 1700 ）V</w:t>
            </w:r>
          </w:p>
        </w:tc>
        <w:tc>
          <w:tcPr>
            <w:tcW w:w="166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±（2%RDG+1d）</w:t>
            </w:r>
          </w:p>
        </w:tc>
        <w:tc>
          <w:tcPr>
            <w:tcW w:w="999" w:type="dxa"/>
            <w:vMerge w:val="restart"/>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1mA±5μA</w:t>
            </w:r>
          </w:p>
        </w:tc>
      </w:tr>
      <w:tr>
        <w:tblPrEx>
          <w:tblLayout w:type="fixed"/>
          <w:tblCellMar>
            <w:top w:w="0" w:type="dxa"/>
            <w:left w:w="0" w:type="dxa"/>
            <w:bottom w:w="0" w:type="dxa"/>
            <w:right w:w="0" w:type="dxa"/>
          </w:tblCellMar>
        </w:tblPrEx>
        <w:trPr>
          <w:trHeight w:val="261" w:hRule="atLeast"/>
        </w:trPr>
        <w:tc>
          <w:tcPr>
            <w:tcW w:w="1442" w:type="dxa"/>
            <w:vMerge w:val="continue"/>
            <w:shd w:val="clear"/>
            <w:vAlign w:val="center"/>
          </w:tcPr>
          <w:p>
            <w:pPr>
              <w:rPr>
                <w:rFonts w:hint="eastAsia" w:ascii="宋体" w:hAnsi="宋体" w:eastAsia="宋体" w:cs="宋体"/>
                <w:b w:val="0"/>
                <w:i w:val="0"/>
                <w:caps w:val="0"/>
                <w:color w:val="000000"/>
                <w:spacing w:val="0"/>
                <w:sz w:val="21"/>
                <w:szCs w:val="21"/>
              </w:rPr>
            </w:pPr>
          </w:p>
        </w:tc>
        <w:tc>
          <w:tcPr>
            <w:tcW w:w="88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HTFC-2GB</w:t>
            </w:r>
          </w:p>
        </w:tc>
        <w:tc>
          <w:tcPr>
            <w:tcW w:w="232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0 ～ 1999 ）V</w:t>
            </w:r>
          </w:p>
        </w:tc>
        <w:tc>
          <w:tcPr>
            <w:tcW w:w="166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≤±1％±1d</w:t>
            </w:r>
          </w:p>
        </w:tc>
        <w:tc>
          <w:tcPr>
            <w:tcW w:w="999" w:type="dxa"/>
            <w:vMerge w:val="continue"/>
            <w:shd w:val="clear"/>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261" w:hRule="atLeast"/>
        </w:trPr>
        <w:tc>
          <w:tcPr>
            <w:tcW w:w="2330" w:type="dxa"/>
            <w:gridSpan w:val="2"/>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泄露电流 ( I 0.75U 1mA)</w:t>
            </w:r>
          </w:p>
        </w:tc>
        <w:tc>
          <w:tcPr>
            <w:tcW w:w="232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0.1 ～ 199.9 ）μA</w:t>
            </w:r>
          </w:p>
        </w:tc>
        <w:tc>
          <w:tcPr>
            <w:tcW w:w="166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 μA +1d）</w:t>
            </w:r>
          </w:p>
        </w:tc>
        <w:tc>
          <w:tcPr>
            <w:tcW w:w="99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0.75 U1mA</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 </w:t>
      </w:r>
    </w:p>
    <w:tbl>
      <w:tblPr>
        <w:tblW w:w="7380" w:type="dxa"/>
        <w:tblInd w:w="0" w:type="dxa"/>
        <w:shd w:val="clear"/>
        <w:tblLayout w:type="fixed"/>
        <w:tblCellMar>
          <w:top w:w="0" w:type="dxa"/>
          <w:left w:w="0" w:type="dxa"/>
          <w:bottom w:w="0" w:type="dxa"/>
          <w:right w:w="0" w:type="dxa"/>
        </w:tblCellMar>
      </w:tblPr>
      <w:tblGrid>
        <w:gridCol w:w="1554"/>
        <w:gridCol w:w="907"/>
        <w:gridCol w:w="1683"/>
        <w:gridCol w:w="1553"/>
        <w:gridCol w:w="1683"/>
      </w:tblGrid>
      <w:tr>
        <w:tblPrEx>
          <w:shd w:val="clear"/>
          <w:tblLayout w:type="fixed"/>
          <w:tblCellMar>
            <w:top w:w="0" w:type="dxa"/>
            <w:left w:w="0" w:type="dxa"/>
            <w:bottom w:w="0" w:type="dxa"/>
            <w:right w:w="0" w:type="dxa"/>
          </w:tblCellMar>
        </w:tblPrEx>
        <w:trPr>
          <w:trHeight w:val="221" w:hRule="atLeast"/>
        </w:trPr>
        <w:tc>
          <w:tcPr>
            <w:tcW w:w="2461" w:type="dxa"/>
            <w:gridSpan w:val="2"/>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技术指标</w:t>
            </w:r>
          </w:p>
        </w:tc>
        <w:tc>
          <w:tcPr>
            <w:tcW w:w="168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测量范围</w:t>
            </w:r>
          </w:p>
        </w:tc>
        <w:tc>
          <w:tcPr>
            <w:tcW w:w="155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最大误差</w:t>
            </w:r>
          </w:p>
        </w:tc>
        <w:tc>
          <w:tcPr>
            <w:tcW w:w="168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测试条件</w:t>
            </w:r>
          </w:p>
        </w:tc>
      </w:tr>
      <w:tr>
        <w:tblPrEx>
          <w:tblLayout w:type="fixed"/>
          <w:tblCellMar>
            <w:top w:w="0" w:type="dxa"/>
            <w:left w:w="0" w:type="dxa"/>
            <w:bottom w:w="0" w:type="dxa"/>
            <w:right w:w="0" w:type="dxa"/>
          </w:tblCellMar>
        </w:tblPrEx>
        <w:trPr>
          <w:trHeight w:val="221" w:hRule="atLeast"/>
        </w:trPr>
        <w:tc>
          <w:tcPr>
            <w:tcW w:w="1554" w:type="dxa"/>
            <w:vMerge w:val="restart"/>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直流击穿电压</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V sdc ）</w:t>
            </w:r>
          </w:p>
        </w:tc>
        <w:tc>
          <w:tcPr>
            <w:tcW w:w="907"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HTFC-2G</w:t>
            </w:r>
          </w:p>
        </w:tc>
        <w:tc>
          <w:tcPr>
            <w:tcW w:w="168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(20 ～ 1700)V</w:t>
            </w:r>
          </w:p>
        </w:tc>
        <w:tc>
          <w:tcPr>
            <w:tcW w:w="155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±(2%RDG+1d)</w:t>
            </w:r>
          </w:p>
        </w:tc>
        <w:tc>
          <w:tcPr>
            <w:tcW w:w="1683" w:type="dxa"/>
            <w:vMerge w:val="restart"/>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电压上升速率</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（100±8）V/S</w:t>
            </w:r>
          </w:p>
        </w:tc>
      </w:tr>
      <w:tr>
        <w:tblPrEx>
          <w:tblLayout w:type="fixed"/>
          <w:tblCellMar>
            <w:top w:w="0" w:type="dxa"/>
            <w:left w:w="0" w:type="dxa"/>
            <w:bottom w:w="0" w:type="dxa"/>
            <w:right w:w="0" w:type="dxa"/>
          </w:tblCellMar>
        </w:tblPrEx>
        <w:trPr>
          <w:trHeight w:val="221" w:hRule="atLeast"/>
        </w:trPr>
        <w:tc>
          <w:tcPr>
            <w:tcW w:w="1554" w:type="dxa"/>
            <w:vMerge w:val="continue"/>
            <w:shd w:val="clear"/>
            <w:vAlign w:val="center"/>
          </w:tcPr>
          <w:p>
            <w:pPr>
              <w:rPr>
                <w:rFonts w:hint="eastAsia" w:ascii="宋体" w:hAnsi="宋体" w:eastAsia="宋体" w:cs="宋体"/>
                <w:b w:val="0"/>
                <w:i w:val="0"/>
                <w:caps w:val="0"/>
                <w:color w:val="000000"/>
                <w:spacing w:val="0"/>
                <w:sz w:val="21"/>
                <w:szCs w:val="21"/>
              </w:rPr>
            </w:pPr>
          </w:p>
        </w:tc>
        <w:tc>
          <w:tcPr>
            <w:tcW w:w="907" w:type="dxa"/>
            <w:shd w:val="clear"/>
            <w:vAlign w:val="center"/>
          </w:tcPr>
          <w:p>
            <w:pPr>
              <w:rPr>
                <w:rFonts w:hint="eastAsia" w:ascii="宋体" w:hAnsi="宋体" w:eastAsia="宋体" w:cs="宋体"/>
                <w:b w:val="0"/>
                <w:i w:val="0"/>
                <w:caps w:val="0"/>
                <w:color w:val="000000"/>
                <w:spacing w:val="0"/>
                <w:sz w:val="21"/>
                <w:szCs w:val="21"/>
              </w:rPr>
            </w:pPr>
          </w:p>
        </w:tc>
        <w:tc>
          <w:tcPr>
            <w:tcW w:w="1683" w:type="dxa"/>
            <w:shd w:val="clear"/>
            <w:vAlign w:val="center"/>
          </w:tcPr>
          <w:p>
            <w:pPr>
              <w:rPr>
                <w:rFonts w:hint="eastAsia" w:ascii="宋体" w:hAnsi="宋体" w:eastAsia="宋体" w:cs="宋体"/>
                <w:b w:val="0"/>
                <w:i w:val="0"/>
                <w:caps w:val="0"/>
                <w:color w:val="000000"/>
                <w:spacing w:val="0"/>
                <w:sz w:val="21"/>
                <w:szCs w:val="21"/>
              </w:rPr>
            </w:pPr>
          </w:p>
        </w:tc>
        <w:tc>
          <w:tcPr>
            <w:tcW w:w="1553" w:type="dxa"/>
            <w:shd w:val="clear"/>
            <w:vAlign w:val="center"/>
          </w:tcPr>
          <w:p>
            <w:pPr>
              <w:rPr>
                <w:rFonts w:hint="eastAsia" w:ascii="宋体" w:hAnsi="宋体" w:eastAsia="宋体" w:cs="宋体"/>
                <w:b w:val="0"/>
                <w:i w:val="0"/>
                <w:caps w:val="0"/>
                <w:color w:val="000000"/>
                <w:spacing w:val="0"/>
                <w:sz w:val="21"/>
                <w:szCs w:val="21"/>
              </w:rPr>
            </w:pPr>
          </w:p>
        </w:tc>
        <w:tc>
          <w:tcPr>
            <w:tcW w:w="1683" w:type="dxa"/>
            <w:vMerge w:val="continue"/>
            <w:shd w:val="clear"/>
            <w:vAlign w:val="center"/>
          </w:tcPr>
          <w:p>
            <w:pPr>
              <w:rPr>
                <w:rFonts w:hint="eastAsia" w:ascii="宋体" w:hAnsi="宋体" w:eastAsia="宋体" w:cs="宋体"/>
                <w:b w:val="0"/>
                <w:i w:val="0"/>
                <w:caps w:val="0"/>
                <w:color w:val="000000"/>
                <w:spacing w:val="0"/>
                <w:sz w:val="21"/>
                <w:szCs w:val="21"/>
              </w:rPr>
            </w:pPr>
          </w:p>
        </w:tc>
      </w:tr>
    </w:tbl>
    <w:p>
      <w:pPr>
        <w:rPr>
          <w:rFonts w:hint="eastAsia" w:ascii="宋体" w:hAnsi="宋体" w:eastAsia="宋体" w:cs="宋体"/>
          <w:b w:val="0"/>
          <w:bCs w:val="0"/>
          <w:i w:val="0"/>
          <w:caps w:val="0"/>
          <w:color w:val="333333"/>
          <w:spacing w:val="0"/>
          <w:sz w:val="21"/>
          <w:szCs w:val="21"/>
          <w:shd w:val="clear" w:fill="FFFFFF"/>
        </w:rPr>
      </w:pPr>
    </w:p>
    <w:p>
      <w:pPr>
        <w:rPr>
          <w:rFonts w:hint="eastAsia" w:ascii="宋体" w:hAnsi="宋体" w:eastAsia="宋体" w:cs="宋体"/>
          <w:b w:val="0"/>
          <w:bCs w:val="0"/>
          <w:i w:val="0"/>
          <w:caps w:val="0"/>
          <w:color w:val="333333"/>
          <w:spacing w:val="0"/>
          <w:sz w:val="21"/>
          <w:szCs w:val="21"/>
          <w:shd w:val="clear" w:fill="FFFFFF"/>
        </w:rPr>
      </w:pPr>
    </w:p>
    <w:p>
      <w:pPr>
        <w:rPr>
          <w:rFonts w:hint="eastAsia" w:ascii="宋体" w:hAnsi="宋体" w:eastAsia="宋体" w:cs="宋体"/>
          <w:b w:val="0"/>
          <w:bCs w:val="0"/>
          <w:i w:val="0"/>
          <w:caps w:val="0"/>
          <w:color w:val="333333"/>
          <w:spacing w:val="0"/>
          <w:sz w:val="21"/>
          <w:szCs w:val="21"/>
          <w:shd w:val="clear" w:fill="FFFFFF"/>
        </w:rPr>
      </w:pPr>
      <w:r>
        <w:rPr>
          <w:rFonts w:hint="eastAsia" w:ascii="宋体" w:hAnsi="宋体" w:eastAsia="宋体" w:cs="宋体"/>
          <w:b w:val="0"/>
          <w:bCs w:val="0"/>
          <w:i w:val="0"/>
          <w:caps w:val="0"/>
          <w:color w:val="333333"/>
          <w:spacing w:val="0"/>
          <w:sz w:val="21"/>
          <w:szCs w:val="21"/>
          <w:shd w:val="clear" w:fill="FFFFFF"/>
        </w:rPr>
        <w:t>尊敬的客户：</w:t>
      </w:r>
      <w:bookmarkStart w:id="0" w:name="_GoBack"/>
      <w:bookmarkEnd w:id="0"/>
    </w:p>
    <w:p>
      <w:pPr>
        <w:rPr>
          <w:rFonts w:hint="eastAsia" w:ascii="宋体" w:hAnsi="宋体" w:eastAsia="宋体" w:cs="宋体"/>
          <w:b w:val="0"/>
          <w:bCs w:val="0"/>
          <w:i w:val="0"/>
          <w:caps w:val="0"/>
          <w:color w:val="333333"/>
          <w:spacing w:val="0"/>
          <w:sz w:val="21"/>
          <w:szCs w:val="21"/>
          <w:shd w:val="clear" w:fill="FFFFFF"/>
        </w:rPr>
      </w:pPr>
      <w:r>
        <w:rPr>
          <w:rFonts w:hint="eastAsia" w:ascii="宋体" w:hAnsi="宋体" w:eastAsia="宋体" w:cs="宋体"/>
          <w:b w:val="0"/>
          <w:bCs w:val="0"/>
          <w:i w:val="0"/>
          <w:caps w:val="0"/>
          <w:color w:val="333333"/>
          <w:spacing w:val="0"/>
          <w:sz w:val="21"/>
          <w:szCs w:val="21"/>
          <w:shd w:val="clear" w:fill="FFFFFF"/>
        </w:rPr>
        <w:t>感谢您关注我们的产品，本公司除了有此产品介绍以外，还有</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"http://www.88770226.com/productContent.asp?id=449"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大电流发生器生产厂家</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耐电压测试仪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"http://www.88770226.com/productContent.asp?id=442"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直流高压发生器</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"http://www.88770226.com/productContent.asp?id=408"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直流电阻测试仪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"http://www.88770226.com/productContent.asp?id=484"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真空滤油机生产厂家</w:t>
      </w:r>
      <w:r>
        <w:rPr>
          <w:rFonts w:ascii="Arial" w:hAnsi="Arial" w:cs="Arial"/>
          <w:color w:val="000000" w:themeColor="text1"/>
          <w:szCs w:val="21"/>
          <w14:textFill>
            <w14:solidFill>
              <w14:schemeClr w14:val="tx1"/>
            </w14:solidFill>
          </w14:textFill>
        </w:rPr>
        <w:fldChar w:fldCharType="end"/>
      </w:r>
      <w:r>
        <w:rPr>
          <w:rFonts w:hint="eastAsia" w:ascii="宋体" w:hAnsi="宋体" w:eastAsia="宋体" w:cs="宋体"/>
          <w:b w:val="0"/>
          <w:bCs w:val="0"/>
          <w:i w:val="0"/>
          <w:caps w:val="0"/>
          <w:color w:val="333333"/>
          <w:spacing w:val="0"/>
          <w:sz w:val="21"/>
          <w:szCs w:val="21"/>
          <w:shd w:val="clear" w:fill="FFFFFF"/>
        </w:rPr>
        <w:t>等等的介绍，您如果对我们的产品有兴趣，欢迎来电咨询。谢谢!</w:t>
      </w:r>
    </w:p>
    <w:p>
      <w:pPr>
        <w:rPr>
          <w:rFonts w:hint="eastAsia" w:ascii="宋体" w:hAnsi="宋体" w:eastAsia="宋体" w:cs="宋体"/>
          <w:b w:val="0"/>
          <w:bCs w:val="0"/>
          <w:i w:val="0"/>
          <w:caps w:val="0"/>
          <w:color w:val="333333"/>
          <w:spacing w:val="0"/>
          <w:sz w:val="21"/>
          <w:szCs w:val="21"/>
          <w:shd w:val="clear" w:fill="FFFFFF"/>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3A87548"/>
    <w:rsid w:val="042B4B43"/>
    <w:rsid w:val="04685B94"/>
    <w:rsid w:val="04791607"/>
    <w:rsid w:val="05713170"/>
    <w:rsid w:val="05F210A8"/>
    <w:rsid w:val="06575AA7"/>
    <w:rsid w:val="07F73B62"/>
    <w:rsid w:val="08576582"/>
    <w:rsid w:val="0A53158E"/>
    <w:rsid w:val="0B1A0F53"/>
    <w:rsid w:val="0C9D2E8D"/>
    <w:rsid w:val="0CFE288D"/>
    <w:rsid w:val="0D9E1BA9"/>
    <w:rsid w:val="0EB26E92"/>
    <w:rsid w:val="0FB45EB2"/>
    <w:rsid w:val="0FCC5035"/>
    <w:rsid w:val="11290A36"/>
    <w:rsid w:val="11C55BC2"/>
    <w:rsid w:val="121B4B87"/>
    <w:rsid w:val="134E4AF8"/>
    <w:rsid w:val="14475323"/>
    <w:rsid w:val="155064B8"/>
    <w:rsid w:val="1B085B92"/>
    <w:rsid w:val="1B900888"/>
    <w:rsid w:val="1BE16C98"/>
    <w:rsid w:val="1BE60A18"/>
    <w:rsid w:val="1D6D718B"/>
    <w:rsid w:val="1DA22017"/>
    <w:rsid w:val="1F02628D"/>
    <w:rsid w:val="1F2D459A"/>
    <w:rsid w:val="1F2F5DB9"/>
    <w:rsid w:val="23AB5D79"/>
    <w:rsid w:val="2527078D"/>
    <w:rsid w:val="265657B1"/>
    <w:rsid w:val="2A0E0665"/>
    <w:rsid w:val="2B0E7D85"/>
    <w:rsid w:val="2EB5008A"/>
    <w:rsid w:val="303E7221"/>
    <w:rsid w:val="303F4F55"/>
    <w:rsid w:val="31B44234"/>
    <w:rsid w:val="31E72D20"/>
    <w:rsid w:val="324201B6"/>
    <w:rsid w:val="34C36B21"/>
    <w:rsid w:val="365405F0"/>
    <w:rsid w:val="37FA4331"/>
    <w:rsid w:val="395F3055"/>
    <w:rsid w:val="39FB1B8A"/>
    <w:rsid w:val="39FE4AFE"/>
    <w:rsid w:val="3CAF5651"/>
    <w:rsid w:val="3CC31F82"/>
    <w:rsid w:val="3E817264"/>
    <w:rsid w:val="3EED5C5F"/>
    <w:rsid w:val="40E4786C"/>
    <w:rsid w:val="41BB5B94"/>
    <w:rsid w:val="44BF0DA6"/>
    <w:rsid w:val="45B33C77"/>
    <w:rsid w:val="46B4160E"/>
    <w:rsid w:val="47734B71"/>
    <w:rsid w:val="47F411E1"/>
    <w:rsid w:val="487F0EB3"/>
    <w:rsid w:val="48DE19B8"/>
    <w:rsid w:val="4B0C0C5B"/>
    <w:rsid w:val="4BB97E15"/>
    <w:rsid w:val="4C8618E9"/>
    <w:rsid w:val="4C934173"/>
    <w:rsid w:val="4CFB78D9"/>
    <w:rsid w:val="4DBE3163"/>
    <w:rsid w:val="4E3A0E41"/>
    <w:rsid w:val="4E5967E0"/>
    <w:rsid w:val="514238AB"/>
    <w:rsid w:val="52EF14FD"/>
    <w:rsid w:val="55496439"/>
    <w:rsid w:val="5553109A"/>
    <w:rsid w:val="563801ED"/>
    <w:rsid w:val="5655665D"/>
    <w:rsid w:val="567E7596"/>
    <w:rsid w:val="56CE550C"/>
    <w:rsid w:val="57B70841"/>
    <w:rsid w:val="58507A78"/>
    <w:rsid w:val="5A460845"/>
    <w:rsid w:val="5C3B7A87"/>
    <w:rsid w:val="5D8E1932"/>
    <w:rsid w:val="6156633E"/>
    <w:rsid w:val="64694297"/>
    <w:rsid w:val="65512918"/>
    <w:rsid w:val="6639199B"/>
    <w:rsid w:val="664E2F20"/>
    <w:rsid w:val="6983663C"/>
    <w:rsid w:val="6BF020D2"/>
    <w:rsid w:val="6C3C7C99"/>
    <w:rsid w:val="6C6C087E"/>
    <w:rsid w:val="6F2D6D3E"/>
    <w:rsid w:val="6F556613"/>
    <w:rsid w:val="6F986FE6"/>
    <w:rsid w:val="700C4B17"/>
    <w:rsid w:val="7088567E"/>
    <w:rsid w:val="70D81D6D"/>
    <w:rsid w:val="760A50E7"/>
    <w:rsid w:val="764E0D37"/>
    <w:rsid w:val="76F7043B"/>
    <w:rsid w:val="771B2DD9"/>
    <w:rsid w:val="78531067"/>
    <w:rsid w:val="78621CFC"/>
    <w:rsid w:val="788F7F5F"/>
    <w:rsid w:val="79732EA7"/>
    <w:rsid w:val="79F8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955</Words>
  <Characters>980</Characters>
  <Lines>8</Lines>
  <Paragraphs>2</Paragraphs>
  <ScaleCrop>false</ScaleCrop>
  <LinksUpToDate>false</LinksUpToDate>
  <CharactersWithSpaces>980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DELL</cp:lastModifiedBy>
  <dcterms:modified xsi:type="dcterms:W3CDTF">2017-10-14T09:20:56Z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