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超低频高压发生器的产品特性及技术指标</w:t>
      </w:r>
    </w:p>
    <w:p w:rsid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 w:hint="eastAsia"/>
          <w:color w:val="333333"/>
          <w:kern w:val="0"/>
          <w:szCs w:val="21"/>
        </w:rPr>
      </w:pP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/>
          <w:color w:val="333333"/>
          <w:kern w:val="0"/>
          <w:szCs w:val="21"/>
        </w:rPr>
        <w:t xml:space="preserve">ZLVLF超低频高压发生器的特性： 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/>
          <w:color w:val="333333"/>
          <w:kern w:val="0"/>
          <w:szCs w:val="21"/>
        </w:rPr>
        <w:t>ZLVLF0.1Hz超低频高压发生器采用最新技术，其特点是高压输出功率大，体积小，性能可靠。输出电压、输出电流</w:t>
      </w:r>
      <w:proofErr w:type="gramStart"/>
      <w:r w:rsidRPr="00151101">
        <w:rPr>
          <w:rFonts w:asciiTheme="minorEastAsia" w:hAnsiTheme="minorEastAsia" w:cs="宋体"/>
          <w:color w:val="333333"/>
          <w:kern w:val="0"/>
          <w:szCs w:val="21"/>
        </w:rPr>
        <w:t>采用双表显示</w:t>
      </w:r>
      <w:proofErr w:type="gramEnd"/>
      <w:r w:rsidRPr="00151101">
        <w:rPr>
          <w:rFonts w:asciiTheme="minorEastAsia" w:hAnsiTheme="minorEastAsia" w:cs="宋体"/>
          <w:color w:val="333333"/>
          <w:kern w:val="0"/>
          <w:szCs w:val="21"/>
        </w:rPr>
        <w:t>，指针表显示电压、电流的变化值，便于观察，数字表显示电压和电流的正、负峰值，便于读数。高频升压变压器及高压整流采用油浸式结构，使体积大大减小，携带方便，特别适合于野外现场使用。</w:t>
      </w:r>
      <w:r w:rsidRPr="00151101">
        <w:rPr>
          <w:rFonts w:asciiTheme="minorEastAsia" w:hAnsiTheme="minorEastAsia" w:cs="宋体"/>
          <w:color w:val="333333"/>
          <w:kern w:val="0"/>
          <w:szCs w:val="21"/>
        </w:rPr>
        <w:br/>
        <w:t xml:space="preserve">    为适应高压电缆试验时的不同需要，本产品设置了输出频率调节装置，针对不同的电缆以及客户需要，按照事先设置好输出频率，可输出频率为0.1Hz、0.05Hz和0.02Hz的高压信号。</w:t>
      </w:r>
      <w:r w:rsidRPr="00151101">
        <w:rPr>
          <w:rFonts w:asciiTheme="minorEastAsia" w:hAnsiTheme="minorEastAsia" w:cs="宋体"/>
          <w:color w:val="333333"/>
          <w:kern w:val="0"/>
          <w:szCs w:val="21"/>
        </w:rPr>
        <w:br/>
        <w:t xml:space="preserve">    本VLF超低频高压发生器是进行超低频耐压试验的重要设备，广泛用于电力部和工矿企业对电缆和其它高压设备进行现场试验。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/>
          <w:color w:val="333333"/>
          <w:kern w:val="0"/>
          <w:szCs w:val="21"/>
        </w:rPr>
        <w:t xml:space="preserve"> ZLVLF超低频高压发生器的技术参数：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/>
          <w:color w:val="333333"/>
          <w:kern w:val="0"/>
          <w:szCs w:val="21"/>
        </w:rPr>
        <w:t xml:space="preserve">  </w:t>
      </w:r>
      <w:bookmarkStart w:id="0" w:name="_GoBack"/>
      <w:bookmarkEnd w:id="0"/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right="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ZLVLF超低频高压发生器系列产品</w:t>
      </w:r>
      <w:r w:rsidRPr="00151101">
        <w:rPr>
          <w:rFonts w:asciiTheme="minorEastAsia" w:hAnsiTheme="minorEastAsia" w:cs="Times New Roman"/>
          <w:b/>
          <w:bCs/>
          <w:color w:val="333333"/>
          <w:kern w:val="0"/>
          <w:szCs w:val="21"/>
        </w:rPr>
        <w:t>                      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991"/>
        <w:gridCol w:w="1593"/>
        <w:gridCol w:w="820"/>
        <w:gridCol w:w="1594"/>
        <w:gridCol w:w="1680"/>
      </w:tblGrid>
      <w:tr w:rsidR="00151101" w:rsidRPr="00151101" w:rsidTr="00151101">
        <w:trPr>
          <w:trHeight w:val="490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65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额定电压</w:t>
            </w:r>
          </w:p>
        </w:tc>
        <w:tc>
          <w:tcPr>
            <w:tcW w:w="10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 w:firstLine="44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带载能力</w:t>
            </w:r>
          </w:p>
        </w:tc>
        <w:tc>
          <w:tcPr>
            <w:tcW w:w="55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电源保险管</w:t>
            </w:r>
          </w:p>
        </w:tc>
        <w:tc>
          <w:tcPr>
            <w:tcW w:w="100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1050" w:type="pc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用途</w:t>
            </w:r>
          </w:p>
        </w:tc>
      </w:tr>
      <w:tr w:rsidR="00151101" w:rsidRPr="00151101" w:rsidTr="00151101">
        <w:trPr>
          <w:cantSplit/>
          <w:trHeight w:val="158"/>
        </w:trPr>
        <w:tc>
          <w:tcPr>
            <w:tcW w:w="65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left="199"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ZLVLF-30/1.1</w:t>
            </w:r>
          </w:p>
        </w:tc>
        <w:tc>
          <w:tcPr>
            <w:tcW w:w="6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30kV</w:t>
            </w:r>
          </w:p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（峰值）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 w:firstLine="200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0.1Hz,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1.1µF</w:t>
            </w:r>
          </w:p>
        </w:tc>
        <w:tc>
          <w:tcPr>
            <w:tcW w:w="5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10A</w:t>
            </w:r>
          </w:p>
        </w:tc>
        <w:tc>
          <w:tcPr>
            <w:tcW w:w="10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控制器：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4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㎏</w:t>
            </w:r>
          </w:p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升压体：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25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㎏</w:t>
            </w:r>
          </w:p>
        </w:tc>
        <w:tc>
          <w:tcPr>
            <w:tcW w:w="10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10kV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电缆、发电机交流耐压试验</w:t>
            </w:r>
          </w:p>
        </w:tc>
      </w:tr>
      <w:tr w:rsidR="00151101" w:rsidRPr="00151101" w:rsidTr="00151101">
        <w:trPr>
          <w:cantSplit/>
          <w:trHeight w:val="15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0.05Hz,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2.2µF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51101" w:rsidRPr="00151101" w:rsidTr="00151101">
        <w:trPr>
          <w:cantSplit/>
          <w:trHeight w:val="15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0.02Hz,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5.5µF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51101" w:rsidRPr="00151101" w:rsidTr="00151101">
        <w:trPr>
          <w:cantSplit/>
          <w:trHeight w:val="158"/>
        </w:trPr>
        <w:tc>
          <w:tcPr>
            <w:tcW w:w="65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left="199"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ZLVLF-50/1.1</w:t>
            </w:r>
          </w:p>
        </w:tc>
        <w:tc>
          <w:tcPr>
            <w:tcW w:w="6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 w:firstLine="20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50kV</w:t>
            </w:r>
          </w:p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（峰值）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 w:firstLine="200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0.1Hz,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1.1µF</w:t>
            </w:r>
          </w:p>
        </w:tc>
        <w:tc>
          <w:tcPr>
            <w:tcW w:w="5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15A</w:t>
            </w:r>
          </w:p>
        </w:tc>
        <w:tc>
          <w:tcPr>
            <w:tcW w:w="10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控制器：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5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㎏</w:t>
            </w:r>
          </w:p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升压体：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55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㎏</w:t>
            </w:r>
          </w:p>
        </w:tc>
        <w:tc>
          <w:tcPr>
            <w:tcW w:w="10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发电机交流耐压试验</w:t>
            </w:r>
          </w:p>
        </w:tc>
      </w:tr>
      <w:tr w:rsidR="00151101" w:rsidRPr="00151101" w:rsidTr="00151101">
        <w:trPr>
          <w:cantSplit/>
          <w:trHeight w:val="15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 0.05Hz,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2.2µF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51101" w:rsidRPr="00151101" w:rsidTr="00151101">
        <w:trPr>
          <w:cantSplit/>
          <w:trHeight w:val="15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58" w:lineRule="atLeast"/>
              <w:ind w:right="84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 0.02Hz,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5.5µF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51101" w:rsidRPr="00151101" w:rsidTr="00151101">
        <w:trPr>
          <w:cantSplit/>
          <w:trHeight w:val="149"/>
        </w:trPr>
        <w:tc>
          <w:tcPr>
            <w:tcW w:w="650" w:type="pct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49" w:lineRule="atLeast"/>
              <w:ind w:left="199"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ZLVLF-80/1.1</w:t>
            </w:r>
          </w:p>
        </w:tc>
        <w:tc>
          <w:tcPr>
            <w:tcW w:w="6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 w:firstLine="20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80kV</w:t>
            </w:r>
          </w:p>
          <w:p w:rsidR="00151101" w:rsidRPr="00151101" w:rsidRDefault="00151101" w:rsidP="00151101">
            <w:pPr>
              <w:widowControl/>
              <w:spacing w:line="149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（峰值）</w:t>
            </w: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49" w:lineRule="atLeast"/>
              <w:ind w:right="84" w:firstLine="200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0.1Hz,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0.5µF</w:t>
            </w:r>
          </w:p>
        </w:tc>
        <w:tc>
          <w:tcPr>
            <w:tcW w:w="5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49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16A</w:t>
            </w:r>
          </w:p>
        </w:tc>
        <w:tc>
          <w:tcPr>
            <w:tcW w:w="100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控制器：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5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㎏</w:t>
            </w:r>
          </w:p>
          <w:p w:rsidR="00151101" w:rsidRPr="00151101" w:rsidRDefault="00151101" w:rsidP="00151101">
            <w:pPr>
              <w:widowControl/>
              <w:spacing w:line="149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升压体：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75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㎏</w:t>
            </w:r>
          </w:p>
        </w:tc>
        <w:tc>
          <w:tcPr>
            <w:tcW w:w="1050" w:type="pct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49" w:lineRule="atLeast"/>
              <w:ind w:right="84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35kV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电缆、发电机交流耐压试验</w:t>
            </w:r>
          </w:p>
        </w:tc>
      </w:tr>
      <w:tr w:rsidR="00151101" w:rsidRPr="00151101" w:rsidTr="00151101">
        <w:trPr>
          <w:cantSplit/>
          <w:trHeight w:val="149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49" w:lineRule="atLeast"/>
              <w:ind w:right="84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 0.05Hz,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1.1µF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151101" w:rsidRPr="00151101" w:rsidTr="00151101">
        <w:trPr>
          <w:cantSplit/>
          <w:trHeight w:val="149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101" w:rsidRPr="00151101" w:rsidRDefault="00151101" w:rsidP="00151101">
            <w:pPr>
              <w:widowControl/>
              <w:spacing w:line="149" w:lineRule="atLeast"/>
              <w:ind w:right="84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 0.02Hz,</w:t>
            </w:r>
            <w:r w:rsidRPr="00151101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≤</w:t>
            </w:r>
            <w:r w:rsidRPr="00151101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>2.5µF</w:t>
            </w: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101" w:rsidRPr="00151101" w:rsidRDefault="00151101" w:rsidP="00151101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right="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Times New Roman"/>
          <w:color w:val="333333"/>
          <w:kern w:val="0"/>
          <w:szCs w:val="21"/>
        </w:rPr>
        <w:t> 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right="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/>
          <w:color w:val="333333"/>
          <w:kern w:val="0"/>
          <w:szCs w:val="21"/>
        </w:rPr>
        <w:t> 超低频高压发生器的使用方法：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right="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 xml:space="preserve">   电缆的超低频耐压试验方法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1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．将与试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品相连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的电器设备全部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脱离试品电缆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lastRenderedPageBreak/>
        <w:t>2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．用兆欧表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对试品电缆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各相分别进行绝缘电阻试验，合格方可进行低频耐压试验。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3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．试验电压峰值：Ｕmax＝3Ｕo，其中Ｕo为电缆相电压的定额值。例如：额定电压为10kV电缆，单相额定电压 Ｕo＝10/√3kV＝5.774kV，所以试验电压峰值为：Ｕmax＝3Ｕo＝17.32kV。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4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．试验时间：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按试验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要求设定。如新电缆交接试验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需试验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60分钟。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5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．可分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相进行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测试。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的电容值在试验设备负载容量能力范围内时，可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将试品电缆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三相线芯并联后，同时进行耐压试验。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6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．用随机附带的专用柔性连接电缆将试验设备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与试品电缆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按图13所示的方法相连接。合上电源，设定好试验频率、时间和电压以及高压侧的过流保护值、过压保护值，然后开始升压试验。升压过程应密切监视高压回路，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监听试品电缆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是否有异常响声。升至试验电压时，即开始记录试验时间并读取试验电压值。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7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．试验时间到后，仪器自动停机。试验中若无破坏性放电发生，则认为通过耐压试验。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8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．在升压和耐压过程中，如发现输出波形异常畸变，而且电流异常增大，电压不稳，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发生异味、烟雾、异常响声或闪烙等现象，应立即停止升压，停机后查明原因。这些现象如果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是试品电缆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绝缘部分薄弱引起的，则认为耐压试验不合格。如确定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是试品电缆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由于空气湿度或表面脏污等原因所致，应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将试品电缆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清洁干燥处理后，再进行试验。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9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．试验过程中，如果遇到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非试品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电缆绝缘缺陷使仪器出现过流保护，在查明原因后，应重新进行全时间耐压试验。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 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 xml:space="preserve">  发电机的超低频耐压试验方法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对发电机的超低频耐压试验操作方法与以上对电缆的操作方法相似。下面就不同的地方作重点补充说明。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1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．在交接、大修、局部更换绕组以及常规试验时，均可进行此项试验。用0.1Hz超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低频对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电机进行耐压试验，对发电机端部绝缘的缺陷比工频耐压试验更有效。其原因是在工频电压下，由于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从线棒流出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的电容电流在流经绝缘外面的半导体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防晕层时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造成了较大的电压降，因而使端部的线棒绝缘上承受的电压减小；而在超低频情况下，此电容电流大大减小了，半导体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防晕层上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的压降也大为减小，故端部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绝缘上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电压较高，便于发现缺陷。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2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．连线方法：试验时应分相进行，被试相加压，非被试相短接接地。如图14所示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3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．按照有关规程的要求，试验电压峰值可按如下公式确定：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265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Ｕmax＝√2βＫ</w:t>
      </w:r>
      <w:proofErr w:type="spellStart"/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Uo</w:t>
      </w:r>
      <w:proofErr w:type="spellEnd"/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        其中Ｕmax ：为0.1Hz试验电压的峰值（kV）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2380" w:hanging="9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β：0.1Hz与50Hz电压的等效系数，按我国规程的要求,取1.2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1425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Ｋ：通常取1.3∽1.5  　一般取1.5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1425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Ｕo ：发电机定子绕组额定电压（kV）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     例如：额定电压为13.8 kV的发电机，超低频的试验电压峰值计算方法为：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1425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Ｕmax＝√2×1.2×1.5×13.8≈35.1(kV)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 xml:space="preserve">　　</w:t>
      </w: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4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 试验时间按有关规程进行</w:t>
      </w:r>
    </w:p>
    <w:p w:rsidR="00151101" w:rsidRPr="00151101" w:rsidRDefault="00151101" w:rsidP="001511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82"/>
        <w:rPr>
          <w:rFonts w:asciiTheme="minorEastAsia" w:hAnsiTheme="minorEastAsia" w:cs="宋体"/>
          <w:color w:val="333333"/>
          <w:kern w:val="0"/>
          <w:szCs w:val="21"/>
        </w:rPr>
      </w:pPr>
      <w:r w:rsidRPr="00151101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lastRenderedPageBreak/>
        <w:t>5</w:t>
      </w:r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．在耐压过程中，若无异常声响、气味、冒烟以及数据显示不稳定等现象，可以认为绝缘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耐受住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了试验的考验。为了更好地了解绝缘情况，应尽可能全面监视绝缘的表面状态，特别是空冷机组。经验指出，外观监视能发现仪表所不能反映的发电机</w:t>
      </w:r>
      <w:proofErr w:type="gramStart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绝缘不</w:t>
      </w:r>
      <w:proofErr w:type="gramEnd"/>
      <w:r w:rsidRPr="00151101">
        <w:rPr>
          <w:rFonts w:asciiTheme="minorEastAsia" w:hAnsiTheme="minorEastAsia" w:cs="宋体" w:hint="eastAsia"/>
          <w:color w:val="333333"/>
          <w:kern w:val="0"/>
          <w:szCs w:val="21"/>
        </w:rPr>
        <w:t>正常现象，如表面电晕、放电等。</w:t>
      </w:r>
    </w:p>
    <w:p w:rsidR="00E240B1" w:rsidRPr="00151101" w:rsidRDefault="00E240B1">
      <w:pPr>
        <w:rPr>
          <w:rFonts w:asciiTheme="minorEastAsia" w:hAnsiTheme="minorEastAsia" w:hint="eastAsia"/>
          <w:szCs w:val="21"/>
        </w:rPr>
      </w:pPr>
    </w:p>
    <w:p w:rsidR="00151101" w:rsidRPr="00151101" w:rsidRDefault="00151101" w:rsidP="00151101">
      <w:pPr>
        <w:rPr>
          <w:rFonts w:asciiTheme="minorEastAsia" w:hAnsiTheme="minorEastAsia" w:hint="eastAsia"/>
          <w:szCs w:val="21"/>
        </w:rPr>
      </w:pPr>
      <w:r w:rsidRPr="00151101">
        <w:rPr>
          <w:rFonts w:asciiTheme="minorEastAsia" w:hAnsiTheme="minorEastAsia" w:hint="eastAsia"/>
          <w:szCs w:val="21"/>
        </w:rPr>
        <w:t>尊敬的客户：</w:t>
      </w:r>
    </w:p>
    <w:p w:rsidR="00151101" w:rsidRPr="00151101" w:rsidRDefault="00151101" w:rsidP="00151101">
      <w:pPr>
        <w:rPr>
          <w:rFonts w:asciiTheme="minorEastAsia" w:hAnsiTheme="minorEastAsia"/>
          <w:szCs w:val="21"/>
        </w:rPr>
      </w:pPr>
      <w:r w:rsidRPr="00151101">
        <w:rPr>
          <w:rFonts w:asciiTheme="minorEastAsia" w:hAnsiTheme="minorEastAsia" w:hint="eastAsia"/>
          <w:szCs w:val="21"/>
        </w:rPr>
        <w:t>感谢您关注我们的产品，本公司除了有此产品介绍以外，还有</w:t>
      </w:r>
      <w:hyperlink r:id="rId5" w:history="1"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大电流发生器生产厂家</w:t>
        </w:r>
      </w:hyperlink>
      <w:r w:rsidRPr="00151101">
        <w:rPr>
          <w:rFonts w:asciiTheme="minorEastAsia" w:hAnsiTheme="minorEastAsia" w:cs="Arial"/>
          <w:szCs w:val="21"/>
        </w:rPr>
        <w:t>，</w:t>
      </w:r>
      <w:hyperlink r:id="rId6" w:history="1"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耐电压测试仪</w:t>
        </w:r>
      </w:hyperlink>
      <w:r w:rsidRPr="00151101">
        <w:rPr>
          <w:rFonts w:asciiTheme="minorEastAsia" w:hAnsiTheme="minorEastAsia" w:cs="Arial"/>
          <w:szCs w:val="21"/>
        </w:rPr>
        <w:t>，</w:t>
      </w:r>
      <w:hyperlink r:id="rId7" w:history="1"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直流高压发生器</w:t>
        </w:r>
      </w:hyperlink>
      <w:r w:rsidRPr="00151101">
        <w:rPr>
          <w:rFonts w:asciiTheme="minorEastAsia" w:hAnsiTheme="minorEastAsia" w:cs="Arial"/>
          <w:szCs w:val="21"/>
        </w:rPr>
        <w:t>，</w:t>
      </w:r>
      <w:hyperlink r:id="rId8" w:history="1"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直流电阻测试仪</w:t>
        </w:r>
      </w:hyperlink>
      <w:r w:rsidRPr="00151101">
        <w:rPr>
          <w:rFonts w:asciiTheme="minorEastAsia" w:hAnsiTheme="minorEastAsia" w:cs="Arial"/>
          <w:szCs w:val="21"/>
        </w:rPr>
        <w:t>，</w:t>
      </w:r>
      <w:hyperlink r:id="rId9" w:history="1"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真空</w:t>
        </w:r>
        <w:proofErr w:type="gramStart"/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滤</w:t>
        </w:r>
        <w:proofErr w:type="gramEnd"/>
        <w:r w:rsidRPr="00151101">
          <w:rPr>
            <w:rStyle w:val="15"/>
            <w:rFonts w:asciiTheme="minorEastAsia" w:hAnsiTheme="minorEastAsia" w:cs="Arial"/>
            <w:szCs w:val="21"/>
            <w:u w:val="single"/>
          </w:rPr>
          <w:t>油机生产厂家</w:t>
        </w:r>
      </w:hyperlink>
      <w:r w:rsidRPr="00151101">
        <w:rPr>
          <w:rFonts w:asciiTheme="minorEastAsia" w:hAnsiTheme="minorEastAsia" w:hint="eastAsia"/>
          <w:szCs w:val="21"/>
        </w:rPr>
        <w:t>等等的介绍，您如果对我们的产品有兴趣，欢迎来电咨询。谢谢!</w:t>
      </w:r>
    </w:p>
    <w:sectPr w:rsidR="00151101" w:rsidRPr="00151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01"/>
    <w:rsid w:val="00151101"/>
    <w:rsid w:val="00E2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511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51101"/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51101"/>
    <w:rPr>
      <w:rFonts w:ascii="Times New Roman" w:hAnsi="Times New Roman" w:cs="Times New Roman" w:hint="default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511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51101"/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51101"/>
    <w:rPr>
      <w:rFonts w:ascii="Times New Roman" w:hAnsi="Times New Roman" w:cs="Times New Roman" w:hint="default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8770226.com/productContent.asp?id=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8770226.com/productContent.asp?id=4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8770226.com/productContent.asp?id=4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88770226.com/productContent.asp?id=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8770226.com/productContent.asp?id=4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2017-04-22T03:32:00Z</dcterms:created>
  <dcterms:modified xsi:type="dcterms:W3CDTF">2017-04-22T03:34:00Z</dcterms:modified>
</cp:coreProperties>
</file>