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直流高压发作器工作中的试验先后顺序</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一、直流高压发作器运用前预备</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1、直流高压发作器在运用前应检查其残缺性,联接电缆线不应有断路和短路，设备无分裂等损坏。</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将机箱、倍压筒放置到适合的平安的方位，分别联接好电源线、电缆线和接地线。维护接地线与作业接地线以及放电棒的接地线均应单独接到试品的地线上(即一点接地)并保证接地出色。制止各接地线彼此串联运用，避免击穿时地电位举高构成还击，损坏仪器。</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3、检查电源开关能否在关断的方位上，并检查调压电位器应在零位上,过电压维护整定拨盘开关设置在恰当的方位上，普通爲1.10～1.20倍检验电压值。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二、直流高压发作器空载升压验证过电压维护整定值</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1、请认准电源是单相沟通220V，50Hz.接通电源开关,此刻绿灯亮,标明电源接通。</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2、按赤色按钮，则红灯亮，标明高压接通。</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顺时针方向峻峭调理调压电位器，输入端即从零末尾升压。电压表显现爲负载试品上的电压(KV)值，电流表则显现试品下流过的电流与透露电流之和，电流以微安(uA)爲单位。升到所需的电压后，按规则时辰记载电流表读数，并检查控制箱及输入电缆有无异常景象及动态。</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4、降压，将调压电位器回零后，随后按绿色按钮，堵截高压并封锁电源开关。</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三、直流高压发作器对试品停止透露及直流耐压实验</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1、 在做负载实验前，将高压屏蔽微安表装置到倍压筒上的高压输入端上，并将配套的公用高压线分别接到微安表上和被试品上。</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2、 检查直流高压发作器、放电棒、倍压筒、试品联接线、接地线能否正确，接地线联接能否可靠，检查高压平安距离能否契合要求，方可末尾停止试品的高压实验。</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3、检查供认仪器等无异常状况后，接通单相沟通220V电源开关，此刻绿灯亮，标明电源接通。可末尾停止试品的直流透露和直流耐压实验。</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4、 按赤色按钮，则红灯亮，标明高压接通，待降低压。</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5、 顺时针方向峻峭调理调压电位器,输入端即从零末尾升压。升压速度以每秒3-5kV上升实验电压爲宜。关于大电容试品升压时则需求迟缓升压，不然或许招致电压过冲,还需监视电流表充电电流不逾越直流发作器的较大充电电流。当升到所需的电压或电流后，按规则时辰记载电流表及电压表的读数。</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6、实验完毕后，降压，将调压电位器回零后，随后按绿色按钮，堵截高压并封锁电源开关。</w:t>
      </w: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right="0"/>
        <w:jc w:val="left"/>
        <w:rPr>
          <w:rFonts w:hint="default" w:ascii="sans serif" w:hAnsi="sans serif" w:eastAsia="sans serif" w:cs="sans serif"/>
          <w:i w:val="0"/>
          <w:caps w:val="0"/>
          <w:color w:val="000000"/>
          <w:spacing w:val="0"/>
          <w:kern w:val="0"/>
          <w:sz w:val="18"/>
          <w:szCs w:val="18"/>
          <w:lang w:val="en-US" w:eastAsia="zh-CN" w:bidi="ar"/>
        </w:rPr>
      </w:pPr>
      <w:r>
        <w:rPr>
          <w:rFonts w:hint="default" w:ascii="sans serif" w:hAnsi="sans serif" w:eastAsia="sans serif" w:cs="sans serif"/>
          <w:i w:val="0"/>
          <w:caps w:val="0"/>
          <w:color w:val="000000"/>
          <w:spacing w:val="0"/>
          <w:kern w:val="0"/>
          <w:sz w:val="18"/>
          <w:szCs w:val="18"/>
          <w:lang w:val="en-US" w:eastAsia="zh-CN" w:bidi="ar"/>
        </w:rPr>
        <w:t>　　7、运用直流高压发作器实验完毕后，运用放电棒对试品停止多次放电，放电前方牢接近试品和拆线作业 (放电请详细见放电棒运用阐明书)。对小电容试品如氧化锌避雷器、磁吹避雷器等慢慢调理调压电位器升压到所需的电压(电流)值，然后从数显表上读出电压(电流)数值。如需对氧化锌避雷器停止75%VDC-1mA的丈量时，应先升到电流到1000uA时电压值中止(这时可记载电压、电流值)，然后按下黄色按钮,电压即降到原本的75%,并坚持此形态。此刻可读取微安表数值及电压值。丈量完毕后,调压电位器逆时针回到零位,按下绿色按钮,需再次升压时按赤色按钮即可。对大电容试品时，升压应更要迟缓，并需求监视电流表充电电流不逾越发作器的较大充电电流，要加快升压速度,避免充电电流过大。实验完毕后，将电压调理电位器逆时针回到零位上，随后按绿色按钮，堵截高压。此刻留意电压表上的电压降到20kV左右,方可用放电棒停止多次放电，保证平安。</w:t>
      </w:r>
      <w:bookmarkStart w:id="0" w:name="_GoBack"/>
      <w:bookmarkEnd w:id="0"/>
    </w:p>
    <w:p>
      <w:pPr>
        <w:pStyle w:val="3"/>
        <w:keepNext w:val="0"/>
        <w:keepLines w:val="0"/>
        <w:widowControl/>
        <w:suppressLineNumbers w:val="0"/>
        <w:ind w:left="0" w:right="0" w:firstLine="0"/>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816EB"/>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BFD6C8F"/>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3E670B"/>
    <w:rsid w:val="14F7040E"/>
    <w:rsid w:val="15691128"/>
    <w:rsid w:val="15731E8C"/>
    <w:rsid w:val="15932CDA"/>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14955DB"/>
    <w:rsid w:val="21FB69EC"/>
    <w:rsid w:val="228E7155"/>
    <w:rsid w:val="236B1576"/>
    <w:rsid w:val="236E5E8F"/>
    <w:rsid w:val="23EC1BF8"/>
    <w:rsid w:val="240823BC"/>
    <w:rsid w:val="240A4F82"/>
    <w:rsid w:val="24E91A75"/>
    <w:rsid w:val="24F97CA2"/>
    <w:rsid w:val="26166C91"/>
    <w:rsid w:val="26567B73"/>
    <w:rsid w:val="26CD5C23"/>
    <w:rsid w:val="26E9723A"/>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244215"/>
    <w:rsid w:val="484B3DF5"/>
    <w:rsid w:val="485E5A86"/>
    <w:rsid w:val="486144B9"/>
    <w:rsid w:val="488C43A3"/>
    <w:rsid w:val="48992347"/>
    <w:rsid w:val="489C39CE"/>
    <w:rsid w:val="48B7498D"/>
    <w:rsid w:val="48F56AAD"/>
    <w:rsid w:val="4912396F"/>
    <w:rsid w:val="49E625DB"/>
    <w:rsid w:val="4A232755"/>
    <w:rsid w:val="4A532623"/>
    <w:rsid w:val="4A5F2BF9"/>
    <w:rsid w:val="4B1643EA"/>
    <w:rsid w:val="4D3374E2"/>
    <w:rsid w:val="4DA56752"/>
    <w:rsid w:val="4DA84479"/>
    <w:rsid w:val="4DB37A20"/>
    <w:rsid w:val="4EAD58C1"/>
    <w:rsid w:val="4F523365"/>
    <w:rsid w:val="4FF07395"/>
    <w:rsid w:val="500C32E8"/>
    <w:rsid w:val="50E771D1"/>
    <w:rsid w:val="51372CBA"/>
    <w:rsid w:val="51503C6F"/>
    <w:rsid w:val="5351134C"/>
    <w:rsid w:val="53901884"/>
    <w:rsid w:val="54881020"/>
    <w:rsid w:val="54DA759F"/>
    <w:rsid w:val="551159C5"/>
    <w:rsid w:val="552E3178"/>
    <w:rsid w:val="55362F24"/>
    <w:rsid w:val="55FE7AD4"/>
    <w:rsid w:val="560F50A1"/>
    <w:rsid w:val="569E5AA4"/>
    <w:rsid w:val="5706063F"/>
    <w:rsid w:val="572A3DCB"/>
    <w:rsid w:val="573A45C1"/>
    <w:rsid w:val="57B417E7"/>
    <w:rsid w:val="57D94D94"/>
    <w:rsid w:val="587E6613"/>
    <w:rsid w:val="58961A29"/>
    <w:rsid w:val="58FA4C06"/>
    <w:rsid w:val="590220E4"/>
    <w:rsid w:val="5ACE7FB7"/>
    <w:rsid w:val="5B8977B0"/>
    <w:rsid w:val="5BEE4CCD"/>
    <w:rsid w:val="5C382FA5"/>
    <w:rsid w:val="5CD80BA3"/>
    <w:rsid w:val="5D0C3BD8"/>
    <w:rsid w:val="5D3F29DB"/>
    <w:rsid w:val="5E21005C"/>
    <w:rsid w:val="5E4E48ED"/>
    <w:rsid w:val="5EAB61A1"/>
    <w:rsid w:val="5EC4706C"/>
    <w:rsid w:val="5F562886"/>
    <w:rsid w:val="5F9E1BC4"/>
    <w:rsid w:val="5FCF7C97"/>
    <w:rsid w:val="609E2324"/>
    <w:rsid w:val="60F1143A"/>
    <w:rsid w:val="61F63084"/>
    <w:rsid w:val="62696059"/>
    <w:rsid w:val="63535094"/>
    <w:rsid w:val="63854483"/>
    <w:rsid w:val="63C0694F"/>
    <w:rsid w:val="63CD2221"/>
    <w:rsid w:val="6488353B"/>
    <w:rsid w:val="65543584"/>
    <w:rsid w:val="65A24FDC"/>
    <w:rsid w:val="65B143A1"/>
    <w:rsid w:val="65BD756D"/>
    <w:rsid w:val="65E51041"/>
    <w:rsid w:val="66141D78"/>
    <w:rsid w:val="6699764B"/>
    <w:rsid w:val="669A44A9"/>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E9C69C9"/>
    <w:rsid w:val="6F7E161A"/>
    <w:rsid w:val="6F7E4E22"/>
    <w:rsid w:val="6FE9748C"/>
    <w:rsid w:val="700B0E96"/>
    <w:rsid w:val="702B1AB4"/>
    <w:rsid w:val="706A6145"/>
    <w:rsid w:val="70C819F6"/>
    <w:rsid w:val="71F14425"/>
    <w:rsid w:val="72D7797D"/>
    <w:rsid w:val="732B1995"/>
    <w:rsid w:val="73947B65"/>
    <w:rsid w:val="744E1F1B"/>
    <w:rsid w:val="746A5E3C"/>
    <w:rsid w:val="748219B9"/>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1532</Words>
  <Characters>1641</Characters>
  <Lines>0</Lines>
  <Paragraphs>0</Paragraphs>
  <ScaleCrop>false</ScaleCrop>
  <LinksUpToDate>false</LinksUpToDate>
  <CharactersWithSpaces>1695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2020-05-15T10:26:30Z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